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71F1" w14:textId="6FD5F41A" w:rsidR="00594580" w:rsidRDefault="00594580" w:rsidP="000D5C16">
      <w:pPr>
        <w:rPr>
          <w:b/>
          <w:bCs/>
          <w:sz w:val="28"/>
          <w:szCs w:val="28"/>
        </w:rPr>
      </w:pPr>
      <w:r w:rsidRPr="00667392">
        <w:rPr>
          <w:rFonts w:cs="Arial"/>
          <w:noProof/>
        </w:rPr>
        <w:drawing>
          <wp:inline distT="0" distB="0" distL="0" distR="0" wp14:anchorId="7E027F27" wp14:editId="5A1A6DDB">
            <wp:extent cx="1774190" cy="1071245"/>
            <wp:effectExtent l="0" t="0" r="0" b="0"/>
            <wp:docPr id="1" name="Picture 1" descr="Logotipo, nombre de la empresa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tipo, nombre de la empresa&#10;&#10;El contenido generado por IA puede ser incorrecto.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8B934" w14:textId="77777777" w:rsidR="00594580" w:rsidRDefault="00594580" w:rsidP="000D5C16">
      <w:pPr>
        <w:rPr>
          <w:b/>
          <w:bCs/>
          <w:sz w:val="28"/>
          <w:szCs w:val="28"/>
        </w:rPr>
      </w:pPr>
    </w:p>
    <w:p w14:paraId="6D3485C8" w14:textId="7DF0097B" w:rsidR="000D5C16" w:rsidRPr="000A4C6E" w:rsidRDefault="000D5C16" w:rsidP="000D5C16">
      <w:pPr>
        <w:rPr>
          <w:b/>
          <w:bCs/>
          <w:sz w:val="28"/>
          <w:szCs w:val="28"/>
        </w:rPr>
      </w:pPr>
      <w:r w:rsidRPr="000A4C6E">
        <w:rPr>
          <w:b/>
          <w:bCs/>
          <w:sz w:val="28"/>
          <w:szCs w:val="28"/>
        </w:rPr>
        <w:t>Sin diversidad no hay democracia:</w:t>
      </w:r>
    </w:p>
    <w:p w14:paraId="5B3341DF" w14:textId="17415A14" w:rsidR="000D5C16" w:rsidRPr="00E07401" w:rsidRDefault="000D5C16" w:rsidP="000D5C16">
      <w:pPr>
        <w:rPr>
          <w:b/>
          <w:bCs/>
          <w:i/>
          <w:iCs/>
        </w:rPr>
      </w:pPr>
      <w:r w:rsidRPr="00E07401">
        <w:rPr>
          <w:b/>
          <w:bCs/>
          <w:i/>
          <w:iCs/>
        </w:rPr>
        <w:t>L</w:t>
      </w:r>
      <w:r w:rsidRPr="00E07401">
        <w:rPr>
          <w:b/>
          <w:bCs/>
          <w:i/>
          <w:iCs/>
        </w:rPr>
        <w:t>a subasta de frecuencias es un golpe a la libertad de expresión</w:t>
      </w:r>
    </w:p>
    <w:p w14:paraId="5872F6D5" w14:textId="77777777" w:rsidR="000D5C16" w:rsidRDefault="000D5C16" w:rsidP="000D5C16"/>
    <w:p w14:paraId="4D742CA9" w14:textId="46FA3038" w:rsidR="000D5C16" w:rsidRDefault="000D5C16" w:rsidP="000D5C16">
      <w:pPr>
        <w:jc w:val="both"/>
      </w:pPr>
      <w:r>
        <w:t xml:space="preserve">La subasta de frecuencias impulsada por el </w:t>
      </w:r>
      <w:r w:rsidR="00775B34">
        <w:t xml:space="preserve">actual </w:t>
      </w:r>
      <w:r>
        <w:t>gobierno y la Superintendencia de Telecomunicaciones (</w:t>
      </w:r>
      <w:proofErr w:type="spellStart"/>
      <w:r>
        <w:t>Sutel</w:t>
      </w:r>
      <w:proofErr w:type="spellEnd"/>
      <w:r>
        <w:t>) no fortalece el ecosistema mediático costarricense: lo debilita. Al imponer requisitos económicos y técnicos que solo pueden cumplir los grandes operadores, el proceso amenaza con expulsar del espectro a medios pequeños, comunitarios y regionales, pilares esenciales del pluralismo democrático.</w:t>
      </w:r>
    </w:p>
    <w:p w14:paraId="7CE21CB8" w14:textId="77777777" w:rsidR="000D5C16" w:rsidRDefault="000D5C16" w:rsidP="000D5C16">
      <w:pPr>
        <w:jc w:val="both"/>
      </w:pPr>
    </w:p>
    <w:p w14:paraId="0974AA12" w14:textId="77777777" w:rsidR="000D5C16" w:rsidRDefault="000D5C16" w:rsidP="000D5C16">
      <w:pPr>
        <w:jc w:val="both"/>
      </w:pPr>
      <w:r>
        <w:t>Los precios base para concursar —desde ₡4,8 millones para radio AM hasta ₡800 millones para televisión nacional— se combinan con exigencias técnicas desproporcionadas y poco realistas para la realidad del país. El resultado es excluyente: emisoras locales, culturales y comunitarias quedan fuera antes siquiera de participar. Medios como Radio HIT, Radio Musical, Onda Brava, Radio Santa Clara o TV Sur han denunciado públicamente que no pueden competir bajo estas condiciones, recurriendo a acciones legales o trasladando sus contenidos únicamente a plataformas digitales, una alternativa que no garantiza acceso en zonas rurales donde la conectividad sigue siendo limitada.</w:t>
      </w:r>
    </w:p>
    <w:p w14:paraId="5BAD2551" w14:textId="77777777" w:rsidR="000D5C16" w:rsidRDefault="000D5C16" w:rsidP="000D5C16">
      <w:pPr>
        <w:jc w:val="both"/>
      </w:pPr>
    </w:p>
    <w:p w14:paraId="1C7D77C8" w14:textId="77777777" w:rsidR="000D5C16" w:rsidRDefault="000D5C16" w:rsidP="000D5C16">
      <w:pPr>
        <w:jc w:val="both"/>
      </w:pPr>
      <w:r>
        <w:t>Esta no es solo una barrera económica; es una restricción a derechos fundamentales. Cuando las comunidades pierden sus radios y televisoras locales, pierden espacios de identidad, expresión cultural y vigilancia del poder. Se empobrece el debate público y se concentra la oferta informativa en manos de actores con mayor músculo financiero, reduciendo la diversidad de voces indispensables para la democracia.</w:t>
      </w:r>
    </w:p>
    <w:p w14:paraId="346202EC" w14:textId="77777777" w:rsidR="000D5C16" w:rsidRDefault="000D5C16" w:rsidP="000D5C16">
      <w:pPr>
        <w:jc w:val="both"/>
      </w:pPr>
    </w:p>
    <w:p w14:paraId="146907F4" w14:textId="1C7B1A61" w:rsidR="000D5C16" w:rsidRDefault="000D5C16" w:rsidP="000D5C16">
      <w:pPr>
        <w:jc w:val="both"/>
      </w:pPr>
      <w:r>
        <w:t xml:space="preserve">La defensa del pluralismo informativo no es solo una exigencia legal, sino </w:t>
      </w:r>
      <w:r>
        <w:t>un deber ético</w:t>
      </w:r>
      <w:r>
        <w:t xml:space="preserve"> que debe marcar el rumbo de las políticas públicas en materia de telecomunicaciones. Costa Rica merece más voces, no menos.</w:t>
      </w:r>
    </w:p>
    <w:p w14:paraId="2A31EA0A" w14:textId="77777777" w:rsidR="000D5C16" w:rsidRDefault="000D5C16" w:rsidP="000D5C16">
      <w:pPr>
        <w:jc w:val="both"/>
      </w:pPr>
    </w:p>
    <w:p w14:paraId="202C2AD3" w14:textId="551BEE25" w:rsidR="000D5C16" w:rsidRPr="00E016C1" w:rsidRDefault="000D5C16" w:rsidP="000D5C16">
      <w:pPr>
        <w:jc w:val="both"/>
        <w:rPr>
          <w:b/>
          <w:bCs/>
          <w:i/>
          <w:iCs/>
        </w:rPr>
      </w:pPr>
      <w:r w:rsidRPr="00E016C1">
        <w:rPr>
          <w:b/>
          <w:bCs/>
          <w:i/>
          <w:iCs/>
        </w:rPr>
        <w:t>Junta Directiva</w:t>
      </w:r>
    </w:p>
    <w:p w14:paraId="2EC17255" w14:textId="785A6951" w:rsidR="000D5C16" w:rsidRDefault="000D5C16" w:rsidP="000D5C16">
      <w:pPr>
        <w:jc w:val="both"/>
      </w:pPr>
      <w:r>
        <w:t>IPLEX</w:t>
      </w:r>
    </w:p>
    <w:p w14:paraId="41005C95" w14:textId="1A2BCAC3" w:rsidR="000D5C16" w:rsidRDefault="000D5C16" w:rsidP="000D5C16">
      <w:pPr>
        <w:jc w:val="both"/>
      </w:pPr>
      <w:r>
        <w:t>21-11-2025</w:t>
      </w:r>
    </w:p>
    <w:sectPr w:rsidR="000D5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16"/>
    <w:rsid w:val="000A4C6E"/>
    <w:rsid w:val="000D5C16"/>
    <w:rsid w:val="001E032D"/>
    <w:rsid w:val="00344ABD"/>
    <w:rsid w:val="00472C48"/>
    <w:rsid w:val="00594580"/>
    <w:rsid w:val="00775B34"/>
    <w:rsid w:val="00CB5015"/>
    <w:rsid w:val="00E016C1"/>
    <w:rsid w:val="00E0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183B"/>
  <w15:chartTrackingRefBased/>
  <w15:docId w15:val="{FABCC312-F135-8E41-BC67-B8F33D6A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D5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5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5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5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5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C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C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C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C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5C1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5C1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5C16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5C16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5C16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C16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C16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C16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C16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0D5C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5C1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D5C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5C16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0D5C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5C16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0D5C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5C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5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5C16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0D5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Silesky</dc:creator>
  <cp:keywords/>
  <dc:description/>
  <cp:lastModifiedBy>Raul Silesky</cp:lastModifiedBy>
  <cp:revision>6</cp:revision>
  <dcterms:created xsi:type="dcterms:W3CDTF">2025-11-21T23:43:00Z</dcterms:created>
  <dcterms:modified xsi:type="dcterms:W3CDTF">2025-11-22T00:04:00Z</dcterms:modified>
</cp:coreProperties>
</file>