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964E" w14:textId="0B53F78C" w:rsidR="00F85CB0" w:rsidRPr="00497D0A" w:rsidRDefault="00F85CB0" w:rsidP="00F85CB0">
      <w:pPr>
        <w:jc w:val="center"/>
        <w:rPr>
          <w:rFonts w:ascii="Calibri" w:hAnsi="Calibri" w:cs="Calibri"/>
          <w:b/>
          <w:bCs/>
          <w:sz w:val="22"/>
          <w:szCs w:val="22"/>
        </w:rPr>
      </w:pPr>
      <w:r w:rsidRPr="00497D0A">
        <w:rPr>
          <w:rFonts w:ascii="Calibri" w:hAnsi="Calibri" w:cs="Calibri"/>
          <w:noProof/>
          <w:sz w:val="22"/>
          <w:szCs w:val="22"/>
        </w:rPr>
        <w:drawing>
          <wp:inline distT="0" distB="0" distL="0" distR="0" wp14:anchorId="2F4C7852" wp14:editId="76E3ECC8">
            <wp:extent cx="1126642" cy="112664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eq PC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9836" cy="1129836"/>
                    </a:xfrm>
                    <a:prstGeom prst="rect">
                      <a:avLst/>
                    </a:prstGeom>
                  </pic:spPr>
                </pic:pic>
              </a:graphicData>
            </a:graphic>
          </wp:inline>
        </w:drawing>
      </w:r>
    </w:p>
    <w:p w14:paraId="251DE602" w14:textId="77777777" w:rsidR="00F85CB0" w:rsidRDefault="00F85CB0" w:rsidP="00F85CB0">
      <w:pPr>
        <w:jc w:val="center"/>
        <w:rPr>
          <w:rFonts w:ascii="Calibri" w:hAnsi="Calibri" w:cs="Calibri"/>
          <w:b/>
          <w:bCs/>
          <w:sz w:val="22"/>
          <w:szCs w:val="22"/>
        </w:rPr>
      </w:pPr>
    </w:p>
    <w:p w14:paraId="18387B64" w14:textId="22D8EC09" w:rsidR="00F77477" w:rsidRPr="007855DB" w:rsidRDefault="00F77477" w:rsidP="00F77477">
      <w:pPr>
        <w:keepLines/>
        <w:spacing w:after="40"/>
        <w:jc w:val="center"/>
        <w:rPr>
          <w:lang w:val="es-CR"/>
        </w:rPr>
      </w:pPr>
      <w:r w:rsidRPr="007855DB">
        <w:rPr>
          <w:b/>
          <w:lang w:val="es-CR"/>
        </w:rPr>
        <w:t>MANIFIESTO AMBIENTAL CIUDADANO</w:t>
      </w:r>
      <w:r>
        <w:rPr>
          <w:b/>
          <w:lang w:val="es-CR"/>
        </w:rPr>
        <w:t xml:space="preserve"> ACUERDO 02</w:t>
      </w:r>
      <w:r>
        <w:rPr>
          <w:b/>
          <w:lang w:val="es-CR"/>
        </w:rPr>
        <w:t>3</w:t>
      </w:r>
      <w:r>
        <w:rPr>
          <w:b/>
          <w:lang w:val="es-CR"/>
        </w:rPr>
        <w:t>-2026</w:t>
      </w:r>
    </w:p>
    <w:p w14:paraId="7ABDCB13" w14:textId="77777777" w:rsidR="00A659F7" w:rsidRPr="00F77477" w:rsidRDefault="00A659F7" w:rsidP="00F77477">
      <w:pPr>
        <w:keepLines/>
        <w:spacing w:after="40" w:line="252" w:lineRule="auto"/>
        <w:jc w:val="center"/>
        <w:rPr>
          <w:rFonts w:ascii="Arial" w:eastAsia="Arial" w:hAnsi="Arial"/>
          <w:b/>
          <w:color w:val="2F6B3E"/>
          <w:sz w:val="33"/>
          <w:szCs w:val="22"/>
          <w:lang w:val="es-CR"/>
        </w:rPr>
      </w:pPr>
    </w:p>
    <w:p w14:paraId="3E864C60" w14:textId="77777777" w:rsidR="00501F09" w:rsidRPr="00F77477" w:rsidRDefault="00497D0A" w:rsidP="00F77477">
      <w:pPr>
        <w:keepLines/>
        <w:spacing w:after="40" w:line="252" w:lineRule="auto"/>
        <w:jc w:val="center"/>
        <w:rPr>
          <w:rFonts w:ascii="Arial" w:eastAsia="Arial" w:hAnsi="Arial"/>
          <w:b/>
          <w:color w:val="2F6B3E"/>
          <w:sz w:val="33"/>
          <w:szCs w:val="22"/>
          <w:lang w:val="es-CR"/>
        </w:rPr>
      </w:pPr>
      <w:r w:rsidRPr="00F77477">
        <w:rPr>
          <w:rFonts w:ascii="Arial" w:eastAsia="Arial" w:hAnsi="Arial"/>
          <w:b/>
          <w:color w:val="2F6B3E"/>
          <w:sz w:val="33"/>
          <w:szCs w:val="22"/>
          <w:lang w:val="es-CR"/>
        </w:rPr>
        <w:t xml:space="preserve">LA DESCARBONIZACIÓN NO ES UNA ESTAFA: </w:t>
      </w:r>
    </w:p>
    <w:p w14:paraId="1DC81FBF" w14:textId="4F56584C" w:rsidR="00497D0A" w:rsidRDefault="00497D0A" w:rsidP="00F77477">
      <w:pPr>
        <w:keepLines/>
        <w:spacing w:after="40" w:line="252" w:lineRule="auto"/>
        <w:jc w:val="center"/>
        <w:rPr>
          <w:rFonts w:ascii="Arial" w:eastAsia="Arial" w:hAnsi="Arial"/>
          <w:b/>
          <w:color w:val="2F6B3E"/>
          <w:sz w:val="33"/>
          <w:szCs w:val="22"/>
          <w:lang w:val="es-CR"/>
        </w:rPr>
      </w:pPr>
      <w:r w:rsidRPr="00F77477">
        <w:rPr>
          <w:rFonts w:ascii="Arial" w:eastAsia="Arial" w:hAnsi="Arial"/>
          <w:b/>
          <w:color w:val="2F6B3E"/>
          <w:sz w:val="33"/>
          <w:szCs w:val="22"/>
          <w:lang w:val="es-CR"/>
        </w:rPr>
        <w:t>ES UNA POLÍTICA DE DESARROLLO, SALUD PÚBLICA Y SOBERANÍA ENERGÉTICA</w:t>
      </w:r>
    </w:p>
    <w:p w14:paraId="600B02BA" w14:textId="0F816685" w:rsidR="00F77477" w:rsidRPr="00F77477" w:rsidRDefault="00F77477" w:rsidP="00F77477">
      <w:pPr>
        <w:keepLines/>
        <w:spacing w:after="40" w:line="252" w:lineRule="auto"/>
        <w:jc w:val="center"/>
        <w:rPr>
          <w:rFonts w:ascii="Arial" w:eastAsia="Arial" w:hAnsi="Arial"/>
          <w:b/>
          <w:color w:val="2F6B3E"/>
          <w:sz w:val="33"/>
          <w:szCs w:val="22"/>
          <w:lang w:val="es-CR"/>
        </w:rPr>
      </w:pPr>
      <w:r>
        <w:rPr>
          <w:rFonts w:ascii="Arial" w:eastAsia="Arial" w:hAnsi="Arial"/>
          <w:b/>
          <w:noProof/>
          <w:color w:val="2F6B3E"/>
          <w:sz w:val="33"/>
          <w:szCs w:val="22"/>
          <w:lang w:val="es-CR"/>
        </w:rPr>
        <mc:AlternateContent>
          <mc:Choice Requires="wps">
            <w:drawing>
              <wp:anchor distT="0" distB="0" distL="114300" distR="114300" simplePos="0" relativeHeight="251659264" behindDoc="0" locked="0" layoutInCell="1" allowOverlap="1" wp14:anchorId="7246C42B" wp14:editId="6122757A">
                <wp:simplePos x="0" y="0"/>
                <wp:positionH relativeFrom="column">
                  <wp:posOffset>28574</wp:posOffset>
                </wp:positionH>
                <wp:positionV relativeFrom="paragraph">
                  <wp:posOffset>94615</wp:posOffset>
                </wp:positionV>
                <wp:extent cx="6791325" cy="19050"/>
                <wp:effectExtent l="0" t="0" r="28575" b="19050"/>
                <wp:wrapNone/>
                <wp:docPr id="8791452" name="Conector recto 1"/>
                <wp:cNvGraphicFramePr/>
                <a:graphic xmlns:a="http://schemas.openxmlformats.org/drawingml/2006/main">
                  <a:graphicData uri="http://schemas.microsoft.com/office/word/2010/wordprocessingShape">
                    <wps:wsp>
                      <wps:cNvCnPr/>
                      <wps:spPr>
                        <a:xfrm>
                          <a:off x="0" y="0"/>
                          <a:ext cx="67913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AAED9"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7.45pt" to="53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" strokecolor="#156082 [3204]" strokeweight=".5pt">
                <v:stroke joinstyle="miter"/>
              </v:line>
            </w:pict>
          </mc:Fallback>
        </mc:AlternateContent>
      </w:r>
    </w:p>
    <w:p w14:paraId="5CC1F812" w14:textId="076C8239"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El Parlamento Cívico Ambiental manifiesta su profunda preocupación ante las recientes declaraciones del ministro de Hacienda y de la Presidencia, Rodrigo Chaves Robles, sobre los impuestos aplicables a los vehículos eléctricos y el Plan Nacional de Descarbonización. El ministro anunció un aumento en el impuesto selectivo de consumo y calificó la descarbonización como una “estafa intelectual”, argumentando que Costa Rica genera una proporción insignificante de las emisiones mundiales y que debería destinar sus recursos exclusivamente a adaptarse a los efectos del cambio climático.</w:t>
      </w:r>
    </w:p>
    <w:p w14:paraId="1856A069" w14:textId="77777777"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Estas afirmaciones parten de una visión incompleta de la política ambiental y desconocen los beneficios económicos, sociales, sanitarios y energéticos que la descarbonización puede generar directamente para Costa Rica.</w:t>
      </w:r>
    </w:p>
    <w:p w14:paraId="4E5495C4"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No se trata de un nuevo impuesto</w:t>
      </w:r>
    </w:p>
    <w:p w14:paraId="59709EBF" w14:textId="533BD615"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En primer lugar, es necesario aclarar la información tributaria presentada ante la ciudadanía. Como explicó la Asociación Costarricense de Movilidad Eléctrica, ASOMOVE, no se está creando un impuesto nuevo ni se está aplicando inmediatamente la tarifa completa del 30 %. Se está ejecutando una reducción gradual de las exoneraciones establecida desde 2022 por la Ley de Incentivos y Promoción para el Transporte Eléctrico.</w:t>
      </w:r>
    </w:p>
    <w:p w14:paraId="640B84C3" w14:textId="63022436"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El ajuste actual corresponde a una tasa efectiva aproximada del 7,5 %. Según el calendario legal, esta aumentaría al 15 % en 2028, al 22,5 % en 2031 y al 30 % en 2034. La ciudadanía merece explicaciones fiscales precisas. Presentar un ajuste previamente establecido como una decisión completamente nueva genera incertidumbre entre consumidores, empresas, importadores y entidades financieras.</w:t>
      </w:r>
    </w:p>
    <w:p w14:paraId="28F11D89" w14:textId="77777777"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El Parlamento Cívico Ambiental reconoce que los incentivos fiscales pueden revisarse conforme maduran las tecnologías. Sin embargo, cualquier cambio debe sustentarse en evaluaciones técnicas y considerar sus efectos sobre la recaudación, la movilidad, la salud pública, las importaciones de petróleo y el sistema eléctrico nacional.</w:t>
      </w:r>
    </w:p>
    <w:p w14:paraId="4506CB70"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Costa Rica no necesita ser un gran emisor para beneficiarse de la descarbonización</w:t>
      </w:r>
    </w:p>
    <w:p w14:paraId="3335E671" w14:textId="77777777" w:rsidR="00F01A79" w:rsidRPr="00A659F7" w:rsidRDefault="00F01A79"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La pequeñez de Costa Rica, no hace menos meritoria la Abolición del Ejército, la electrificación del país, el combate al analfabetismo, la expectativa de vida por encima de países industrializados y muchos otros logros que no deben ser degradados usando de mala fe, un denominador mundial.</w:t>
      </w:r>
    </w:p>
    <w:p w14:paraId="076FDAD9" w14:textId="35D656AA"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 xml:space="preserve">Rechazamos el argumento de que el reducido aporte de Costa Rica a las emisiones mundiales vuelve innecesario el Plan Nacional de Descarbonización. La descarbonización no se justifica solamente por la cantidad </w:t>
      </w:r>
      <w:r w:rsidRPr="00A659F7">
        <w:rPr>
          <w:rFonts w:ascii="Arial" w:hAnsi="Arial" w:cs="Arial"/>
          <w:sz w:val="22"/>
          <w:szCs w:val="22"/>
          <w:lang w:val="es-CR"/>
        </w:rPr>
        <w:lastRenderedPageBreak/>
        <w:t>de dióxido de carbono que Costa Rica pueda dejar de emitir frente a las grandes potencias. Se justifica también porque permite reducir la dependencia de los combustibles importados, mejorar la calidad del aire, disminuir enfermedades, modernizar el transporte público y recuperar el tiempo que la población pierde diariamente en las presas.</w:t>
      </w:r>
    </w:p>
    <w:p w14:paraId="3F80A28E" w14:textId="4CA55596"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La adaptación y la reducción de emisiones tampoco son políticas excluyentes. Costa Rica debe proteger su infraestructura y sus comunidades frente a inundaciones, sequías y eventos extremos, pero también debe transformar un sistema de transporte caro, contaminante e ineficiente. Precisamente porque Costa Rica posee una matriz eléctrica mayoritariamente renovable, sustituir combustibles fósiles por electricidad producida en el país representa una oportunidad para fortalecer la soberanía energética y mantener una mayor parte de los recursos dentro de la economía nacional.</w:t>
      </w:r>
    </w:p>
    <w:p w14:paraId="44E8FE59"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La evidencia demuestra que descarbonizar genera beneficios</w:t>
      </w:r>
    </w:p>
    <w:p w14:paraId="766E9030" w14:textId="122C68F7"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 xml:space="preserve">El estudio del Banco Interamericano de Desarrollo sobre los costos y beneficios del Plan Nacional de Descarbonización estimó que su implementación podría producir aproximadamente US$41.000 millones en beneficios económicos netos entre 2020 y 2050. El análisis calculó cerca de US$78.000 millones en beneficios frente a US$37.000 millones en costos. Estos beneficios provendrían, entre otros factores, del ahorro energético, la reducción de accidentes, la disminución del tiempo perdido en congestionamientos y las mejoras en actividades agrícolas y servicios ecosistémicos. </w:t>
      </w:r>
    </w:p>
    <w:p w14:paraId="0A9E84A4" w14:textId="02271052"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 xml:space="preserve">El mismo BID ha estimado que el impacto fiscal de descarbonizar el transporte sería moderado, se produciría principalmente en el largo plazo y sería menor que los beneficios financieros generados por esa transición. También señala que una combinación adecuada de medidas tributarias puede compensar la reducción futura de ingresos provenientes de los combustibles. </w:t>
      </w:r>
    </w:p>
    <w:p w14:paraId="7E533D26" w14:textId="77777777"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Por tanto, descalificar el Plan como un gasto innecesario contradice la evidencia disponible. La descarbonización no es solamente una política climática: es una inversión en eficiencia económica, salud pública y modernización nacional.</w:t>
      </w:r>
    </w:p>
    <w:p w14:paraId="5A5DD623"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Las presas ya le cuestan demasiado al país</w:t>
      </w:r>
    </w:p>
    <w:p w14:paraId="04D8D84C" w14:textId="33AA0CB2"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 xml:space="preserve">Los análisis del Programa Estado de la Nación, las universidades públicas y otros centros de investigación han advertido reiteradamente sobre los costos del modelo de movilidad costarricense. Estimaciones vinculadas con el Estado de la Nación han situado las pérdidas causadas por el congestionamiento vial hasta en un 3,8 % del producto interno bruto anual, principalmente por la pérdida de productividad de las personas trabajadoras. </w:t>
      </w:r>
    </w:p>
    <w:p w14:paraId="0DEE893E" w14:textId="63073748"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A ello deben sumarse el combustible desperdiciado, el desgaste de los vehículos, los accidentes, la contaminación y los efectos sobre la salud física y emocional. Investigaciones de la Universidad de Costa Rica han relacionado las largas jornadas de desplazamiento con mayores niveles de estrés, ansiedad y deterioro de la calidad de vida.</w:t>
      </w:r>
    </w:p>
    <w:p w14:paraId="1313DAC1" w14:textId="77777777" w:rsidR="00497D0A" w:rsidRPr="00A659F7" w:rsidRDefault="00497D0A"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Cada hora perdida en una presa representa tiempo que se le resta al descanso, a la familia, al estudio y a la productividad. Ese costo lo pagan diariamente millones de personas, aunque no aparezca como un impuesto en sus facturas.</w:t>
      </w:r>
    </w:p>
    <w:p w14:paraId="7BBBDFAC"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Nuestra posición</w:t>
      </w:r>
    </w:p>
    <w:p w14:paraId="7180C736" w14:textId="77777777" w:rsidR="00497D0A" w:rsidRPr="00A659F7" w:rsidRDefault="00497D0A" w:rsidP="00497D0A">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Por estas razones, el Parlamento Cívico Ambiental:</w:t>
      </w:r>
    </w:p>
    <w:p w14:paraId="74675B06"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t>Rechaza la descalificación del Plan Nacional de Descarbonización basada únicamente en el reducido aporte de Costa Rica a las emisiones mundiales.</w:t>
      </w:r>
    </w:p>
    <w:p w14:paraId="3C1BF17C"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lastRenderedPageBreak/>
        <w:t>Exige al Ministerio de Hacienda explicar con precisión el alcance de los cambios tributarios aplicables a los vehículos eléctricos y distinguir entre las medidas nuevas y las establecidas desde 2022.</w:t>
      </w:r>
    </w:p>
    <w:p w14:paraId="170C0913"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t>Solicita que cualquier modificación de los incentivos sea respaldada por estudios públicos sobre sus efectos fiscales, ambientales, sociales y energéticos.</w:t>
      </w:r>
    </w:p>
    <w:p w14:paraId="43C4EE60"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t>Defiende una transición justa que priorice la electrificación de autobuses, taxis, vehículos institucionales, transporte de carga y otras flotas de uso intensivo, sin limitar la política de movilidad eléctrica a los automóviles particulares.</w:t>
      </w:r>
    </w:p>
    <w:p w14:paraId="74F9B5DC"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t>Demanda inversión sostenida en transporte público integrado, trenes, ciclovías, infraestructura peatonal, seguridad vial y redes de recarga eléctrica.</w:t>
      </w:r>
    </w:p>
    <w:p w14:paraId="2AC2A2B9" w14:textId="77777777" w:rsidR="00497D0A" w:rsidRPr="00A659F7" w:rsidRDefault="00497D0A" w:rsidP="00497D0A">
      <w:pPr>
        <w:pStyle w:val="Textoindependiente"/>
        <w:numPr>
          <w:ilvl w:val="0"/>
          <w:numId w:val="6"/>
        </w:numPr>
        <w:spacing w:line="276" w:lineRule="auto"/>
        <w:jc w:val="both"/>
        <w:rPr>
          <w:rFonts w:ascii="Arial" w:hAnsi="Arial" w:cs="Arial"/>
          <w:b/>
          <w:bCs/>
          <w:sz w:val="22"/>
          <w:szCs w:val="22"/>
          <w:lang w:val="es-CR"/>
        </w:rPr>
      </w:pPr>
      <w:r w:rsidRPr="00A659F7">
        <w:rPr>
          <w:rFonts w:ascii="Arial" w:hAnsi="Arial" w:cs="Arial"/>
          <w:b/>
          <w:bCs/>
          <w:sz w:val="22"/>
          <w:szCs w:val="22"/>
          <w:lang w:val="es-CR"/>
        </w:rPr>
        <w:t>Reafirma la importancia del ICE, la planificación energética pública y la electricidad renovable como instrumentos fundamentales para reducir la dependencia nacional del petróleo.</w:t>
      </w:r>
    </w:p>
    <w:p w14:paraId="1E06D9B1" w14:textId="4404101B" w:rsidR="00497D0A" w:rsidRPr="00A659F7" w:rsidRDefault="00497D0A" w:rsidP="00501F09">
      <w:pPr>
        <w:pStyle w:val="Textoindependiente"/>
        <w:spacing w:line="276" w:lineRule="auto"/>
        <w:jc w:val="both"/>
        <w:rPr>
          <w:rFonts w:ascii="Arial" w:hAnsi="Arial" w:cs="Arial"/>
          <w:b/>
          <w:bCs/>
          <w:sz w:val="22"/>
          <w:szCs w:val="22"/>
          <w:lang w:val="es-CR"/>
        </w:rPr>
      </w:pPr>
      <w:r w:rsidRPr="00A659F7">
        <w:rPr>
          <w:rFonts w:ascii="Arial" w:hAnsi="Arial" w:cs="Arial"/>
          <w:b/>
          <w:bCs/>
          <w:sz w:val="22"/>
          <w:szCs w:val="22"/>
          <w:lang w:val="es-CR"/>
        </w:rPr>
        <w:t>Costa Rica no necesita ser uno de los mayores contaminantes del planeta para justificar ciudades menos congestionadas, aire más limpio, transporte público moderno y una economía menos dependiente de combustibles importados.</w:t>
      </w:r>
      <w:r w:rsidR="00501F09" w:rsidRPr="00A659F7">
        <w:rPr>
          <w:rFonts w:ascii="Arial" w:hAnsi="Arial" w:cs="Arial"/>
          <w:b/>
          <w:bCs/>
          <w:sz w:val="22"/>
          <w:szCs w:val="22"/>
          <w:lang w:val="es-CR"/>
        </w:rPr>
        <w:t xml:space="preserve"> </w:t>
      </w:r>
      <w:r w:rsidRPr="00A659F7">
        <w:rPr>
          <w:rFonts w:ascii="Arial" w:hAnsi="Arial" w:cs="Arial"/>
          <w:b/>
          <w:bCs/>
          <w:sz w:val="22"/>
          <w:szCs w:val="22"/>
          <w:lang w:val="es-CR"/>
        </w:rPr>
        <w:t>La descarbonización no es un lujo ni una estafa. Es una oportunidad para construir un país más eficiente, saludable, soberano y justo.</w:t>
      </w:r>
    </w:p>
    <w:p w14:paraId="583BC0D1" w14:textId="77777777" w:rsidR="00A659F7" w:rsidRDefault="00A659F7" w:rsidP="00497D0A">
      <w:pPr>
        <w:pStyle w:val="Textoindependiente"/>
        <w:spacing w:line="276" w:lineRule="auto"/>
        <w:jc w:val="both"/>
        <w:rPr>
          <w:rFonts w:ascii="Arial" w:hAnsi="Arial" w:cs="Arial"/>
          <w:sz w:val="22"/>
          <w:szCs w:val="22"/>
          <w:lang w:val="es-CR"/>
        </w:rPr>
      </w:pPr>
    </w:p>
    <w:p w14:paraId="57EDC67E" w14:textId="733BCD31" w:rsidR="00497D0A" w:rsidRPr="00A659F7" w:rsidRDefault="00A659F7" w:rsidP="00497D0A">
      <w:pPr>
        <w:pStyle w:val="Textoindependiente"/>
        <w:spacing w:line="276" w:lineRule="auto"/>
        <w:jc w:val="both"/>
        <w:rPr>
          <w:rFonts w:ascii="Arial" w:hAnsi="Arial" w:cs="Arial"/>
          <w:sz w:val="22"/>
          <w:szCs w:val="22"/>
          <w:lang w:val="es-CR"/>
        </w:rPr>
      </w:pPr>
      <w:r w:rsidRPr="00A659F7">
        <w:rPr>
          <w:rFonts w:ascii="Arial" w:hAnsi="Arial" w:cs="Arial"/>
          <w:sz w:val="22"/>
          <w:szCs w:val="22"/>
          <w:lang w:val="es-CR"/>
        </w:rPr>
        <w:t xml:space="preserve">Es todo. Publíquese y comuníquese. Parlamento Cívico Ambiental. San José, </w:t>
      </w:r>
      <w:r w:rsidR="00497D0A" w:rsidRPr="00A659F7">
        <w:rPr>
          <w:rFonts w:ascii="Arial" w:hAnsi="Arial" w:cs="Arial"/>
          <w:sz w:val="22"/>
          <w:szCs w:val="22"/>
          <w:lang w:val="es-CR"/>
        </w:rPr>
        <w:t xml:space="preserve">Costa Rica, </w:t>
      </w:r>
      <w:r w:rsidR="00501F09" w:rsidRPr="00A659F7">
        <w:rPr>
          <w:rFonts w:ascii="Arial" w:hAnsi="Arial" w:cs="Arial"/>
          <w:sz w:val="22"/>
          <w:szCs w:val="22"/>
          <w:lang w:val="es-CR"/>
        </w:rPr>
        <w:t xml:space="preserve">31 de </w:t>
      </w:r>
      <w:r w:rsidR="00497D0A" w:rsidRPr="00A659F7">
        <w:rPr>
          <w:rFonts w:ascii="Arial" w:hAnsi="Arial" w:cs="Arial"/>
          <w:sz w:val="22"/>
          <w:szCs w:val="22"/>
          <w:lang w:val="es-CR"/>
        </w:rPr>
        <w:t>julio de 2026</w:t>
      </w:r>
    </w:p>
    <w:p w14:paraId="2F71EB26" w14:textId="77777777" w:rsidR="00A659F7" w:rsidRDefault="00A659F7" w:rsidP="00A659F7">
      <w:pPr>
        <w:pStyle w:val="Default"/>
        <w:spacing w:line="360" w:lineRule="auto"/>
        <w:jc w:val="both"/>
        <w:rPr>
          <w:bCs/>
          <w:sz w:val="22"/>
          <w:szCs w:val="22"/>
        </w:rPr>
      </w:pPr>
    </w:p>
    <w:p w14:paraId="61BB5BEB" w14:textId="0761010C" w:rsidR="00A659F7" w:rsidRPr="004A205D" w:rsidRDefault="00A659F7" w:rsidP="00A659F7">
      <w:pPr>
        <w:pStyle w:val="Default"/>
        <w:spacing w:line="360" w:lineRule="auto"/>
        <w:jc w:val="both"/>
        <w:rPr>
          <w:bCs/>
          <w:sz w:val="22"/>
          <w:szCs w:val="22"/>
        </w:rPr>
      </w:pPr>
      <w:r w:rsidRPr="004A205D">
        <w:rPr>
          <w:bCs/>
          <w:sz w:val="22"/>
          <w:szCs w:val="22"/>
        </w:rPr>
        <w:t>Por el Parlamento Cívico Ambiental:</w:t>
      </w:r>
    </w:p>
    <w:p w14:paraId="6BC22A53" w14:textId="77777777" w:rsidR="00A659F7" w:rsidRPr="004A205D" w:rsidRDefault="00A659F7" w:rsidP="00A659F7">
      <w:pPr>
        <w:pStyle w:val="Default"/>
        <w:spacing w:line="360" w:lineRule="auto"/>
        <w:jc w:val="both"/>
        <w:rPr>
          <w:bCs/>
          <w:sz w:val="22"/>
          <w:szCs w:val="22"/>
        </w:rPr>
      </w:pPr>
    </w:p>
    <w:p w14:paraId="056EA53A" w14:textId="77777777" w:rsidR="00A659F7" w:rsidRDefault="00A659F7" w:rsidP="00A659F7">
      <w:pPr>
        <w:pStyle w:val="Default"/>
        <w:spacing w:line="360" w:lineRule="auto"/>
        <w:rPr>
          <w:bCs/>
          <w:sz w:val="22"/>
          <w:szCs w:val="22"/>
        </w:rPr>
      </w:pPr>
      <w:r>
        <w:rPr>
          <w:bCs/>
          <w:sz w:val="22"/>
          <w:szCs w:val="22"/>
        </w:rPr>
        <w:t xml:space="preserve">                       </w:t>
      </w:r>
      <w:r w:rsidRPr="004A205D">
        <w:rPr>
          <w:bCs/>
          <w:sz w:val="22"/>
          <w:szCs w:val="22"/>
        </w:rPr>
        <w:t>Bernardo Aguilar González</w:t>
      </w:r>
      <w:r w:rsidRPr="004A205D">
        <w:rPr>
          <w:bCs/>
          <w:sz w:val="22"/>
          <w:szCs w:val="22"/>
        </w:rPr>
        <w:tab/>
      </w:r>
      <w:r w:rsidRPr="004A205D">
        <w:rPr>
          <w:bCs/>
          <w:sz w:val="22"/>
          <w:szCs w:val="22"/>
        </w:rPr>
        <w:tab/>
      </w:r>
      <w:r w:rsidRPr="004A205D">
        <w:rPr>
          <w:bCs/>
          <w:sz w:val="22"/>
          <w:szCs w:val="22"/>
        </w:rPr>
        <w:tab/>
        <w:t xml:space="preserve">              Victoria Rudín Veg</w:t>
      </w:r>
      <w:r>
        <w:rPr>
          <w:bCs/>
          <w:sz w:val="22"/>
          <w:szCs w:val="22"/>
        </w:rPr>
        <w:t>a</w:t>
      </w:r>
    </w:p>
    <w:p w14:paraId="00738C97" w14:textId="2B60A400" w:rsidR="00A659F7" w:rsidRDefault="00A659F7" w:rsidP="00A659F7">
      <w:pPr>
        <w:pStyle w:val="Default"/>
        <w:spacing w:line="360" w:lineRule="auto"/>
        <w:rPr>
          <w:bCs/>
          <w:sz w:val="22"/>
          <w:szCs w:val="22"/>
        </w:rPr>
      </w:pPr>
      <w:r>
        <w:rPr>
          <w:bCs/>
          <w:sz w:val="22"/>
          <w:szCs w:val="22"/>
        </w:rPr>
        <w:t xml:space="preserve">                                </w:t>
      </w:r>
      <w:r w:rsidRPr="004A205D">
        <w:rPr>
          <w:bCs/>
          <w:sz w:val="22"/>
          <w:szCs w:val="22"/>
        </w:rPr>
        <w:t>Presidencia</w:t>
      </w:r>
      <w:r w:rsidRPr="004A205D">
        <w:rPr>
          <w:bCs/>
          <w:sz w:val="22"/>
          <w:szCs w:val="22"/>
        </w:rPr>
        <w:tab/>
      </w:r>
      <w:r w:rsidRPr="004A205D">
        <w:rPr>
          <w:bCs/>
          <w:sz w:val="22"/>
          <w:szCs w:val="22"/>
        </w:rPr>
        <w:tab/>
      </w:r>
      <w:r w:rsidRPr="004A205D">
        <w:rPr>
          <w:bCs/>
          <w:sz w:val="22"/>
          <w:szCs w:val="22"/>
        </w:rPr>
        <w:tab/>
      </w:r>
      <w:r w:rsidRPr="004A205D">
        <w:rPr>
          <w:bCs/>
          <w:sz w:val="22"/>
          <w:szCs w:val="22"/>
        </w:rPr>
        <w:tab/>
      </w:r>
      <w:r w:rsidRPr="004A205D">
        <w:rPr>
          <w:bCs/>
          <w:sz w:val="22"/>
          <w:szCs w:val="22"/>
        </w:rPr>
        <w:tab/>
        <w:t xml:space="preserve">    </w:t>
      </w:r>
      <w:r>
        <w:rPr>
          <w:bCs/>
          <w:sz w:val="22"/>
          <w:szCs w:val="22"/>
        </w:rPr>
        <w:t xml:space="preserve">  </w:t>
      </w:r>
      <w:r w:rsidRPr="004A205D">
        <w:rPr>
          <w:bCs/>
          <w:sz w:val="22"/>
          <w:szCs w:val="22"/>
        </w:rPr>
        <w:t>Vicepresidencia</w:t>
      </w:r>
    </w:p>
    <w:p w14:paraId="1BD9EF94" w14:textId="77777777" w:rsidR="00A659F7" w:rsidRDefault="00A659F7" w:rsidP="00A659F7">
      <w:pPr>
        <w:pStyle w:val="Default"/>
        <w:spacing w:line="360" w:lineRule="auto"/>
        <w:jc w:val="center"/>
        <w:rPr>
          <w:bCs/>
          <w:sz w:val="22"/>
          <w:szCs w:val="22"/>
        </w:rPr>
      </w:pPr>
    </w:p>
    <w:p w14:paraId="3B919F59" w14:textId="77777777" w:rsidR="00A659F7" w:rsidRPr="004A205D" w:rsidRDefault="00A659F7" w:rsidP="00A659F7">
      <w:pPr>
        <w:pStyle w:val="Default"/>
        <w:spacing w:line="360" w:lineRule="auto"/>
        <w:jc w:val="center"/>
        <w:rPr>
          <w:bCs/>
          <w:sz w:val="22"/>
          <w:szCs w:val="22"/>
        </w:rPr>
      </w:pPr>
    </w:p>
    <w:p w14:paraId="6BE537E6" w14:textId="77777777" w:rsidR="00A659F7" w:rsidRPr="004A205D" w:rsidRDefault="00A659F7" w:rsidP="00A659F7">
      <w:pPr>
        <w:pStyle w:val="Default"/>
        <w:spacing w:line="360" w:lineRule="auto"/>
        <w:jc w:val="center"/>
        <w:rPr>
          <w:bCs/>
          <w:sz w:val="22"/>
          <w:szCs w:val="22"/>
        </w:rPr>
      </w:pPr>
    </w:p>
    <w:p w14:paraId="734FE58E" w14:textId="77777777" w:rsidR="00A659F7" w:rsidRDefault="00A659F7" w:rsidP="00A659F7">
      <w:pPr>
        <w:pStyle w:val="Default"/>
        <w:spacing w:line="360" w:lineRule="auto"/>
        <w:jc w:val="center"/>
        <w:rPr>
          <w:bCs/>
          <w:sz w:val="22"/>
          <w:szCs w:val="22"/>
        </w:rPr>
      </w:pPr>
      <w:r w:rsidRPr="004A205D">
        <w:rPr>
          <w:bCs/>
          <w:sz w:val="22"/>
          <w:szCs w:val="22"/>
        </w:rPr>
        <w:t>Oscar Moya Cantero</w:t>
      </w:r>
      <w:r w:rsidRPr="004A205D">
        <w:rPr>
          <w:bCs/>
          <w:sz w:val="22"/>
          <w:szCs w:val="22"/>
        </w:rPr>
        <w:tab/>
      </w:r>
      <w:r w:rsidRPr="004A205D">
        <w:rPr>
          <w:bCs/>
          <w:sz w:val="22"/>
          <w:szCs w:val="22"/>
        </w:rPr>
        <w:tab/>
      </w:r>
      <w:r w:rsidRPr="004A205D">
        <w:rPr>
          <w:bCs/>
          <w:sz w:val="22"/>
          <w:szCs w:val="22"/>
        </w:rPr>
        <w:tab/>
      </w:r>
      <w:r w:rsidRPr="004A205D">
        <w:rPr>
          <w:bCs/>
          <w:sz w:val="22"/>
          <w:szCs w:val="22"/>
        </w:rPr>
        <w:tab/>
        <w:t xml:space="preserve"> </w:t>
      </w:r>
      <w:r>
        <w:rPr>
          <w:bCs/>
          <w:sz w:val="22"/>
          <w:szCs w:val="22"/>
        </w:rPr>
        <w:t xml:space="preserve">                    Melanie Pérez Vargas</w:t>
      </w:r>
    </w:p>
    <w:p w14:paraId="7BA9132E" w14:textId="1DDF5C44" w:rsidR="00A659F7" w:rsidRPr="004A205D" w:rsidRDefault="00A659F7" w:rsidP="00A659F7">
      <w:pPr>
        <w:pStyle w:val="Default"/>
        <w:spacing w:line="360" w:lineRule="auto"/>
        <w:rPr>
          <w:bCs/>
          <w:sz w:val="22"/>
          <w:szCs w:val="22"/>
        </w:rPr>
      </w:pPr>
      <w:r>
        <w:rPr>
          <w:bCs/>
          <w:sz w:val="22"/>
          <w:szCs w:val="22"/>
        </w:rPr>
        <w:t xml:space="preserve">                          </w:t>
      </w:r>
      <w:r w:rsidRPr="004A205D">
        <w:rPr>
          <w:bCs/>
          <w:sz w:val="22"/>
          <w:szCs w:val="22"/>
        </w:rPr>
        <w:t>Primera Secretaría</w:t>
      </w:r>
      <w:r w:rsidRPr="004A205D">
        <w:rPr>
          <w:bCs/>
          <w:sz w:val="22"/>
          <w:szCs w:val="22"/>
        </w:rPr>
        <w:tab/>
      </w:r>
      <w:r w:rsidRPr="004A205D">
        <w:rPr>
          <w:bCs/>
          <w:sz w:val="22"/>
          <w:szCs w:val="22"/>
        </w:rPr>
        <w:tab/>
      </w:r>
      <w:r w:rsidRPr="004A205D">
        <w:rPr>
          <w:bCs/>
          <w:sz w:val="22"/>
          <w:szCs w:val="22"/>
        </w:rPr>
        <w:tab/>
      </w:r>
      <w:r w:rsidRPr="004A205D">
        <w:rPr>
          <w:bCs/>
          <w:sz w:val="22"/>
          <w:szCs w:val="22"/>
        </w:rPr>
        <w:tab/>
        <w:t xml:space="preserve">   </w:t>
      </w:r>
      <w:r>
        <w:rPr>
          <w:bCs/>
          <w:sz w:val="22"/>
          <w:szCs w:val="22"/>
        </w:rPr>
        <w:t xml:space="preserve">                     </w:t>
      </w:r>
      <w:r w:rsidRPr="004A205D">
        <w:rPr>
          <w:bCs/>
          <w:sz w:val="22"/>
          <w:szCs w:val="22"/>
        </w:rPr>
        <w:t>Segunda Secretaría</w:t>
      </w:r>
    </w:p>
    <w:p w14:paraId="2051C5B2" w14:textId="77777777" w:rsidR="00A659F7" w:rsidRPr="00C872D9" w:rsidRDefault="00A659F7" w:rsidP="00A659F7">
      <w:pPr>
        <w:jc w:val="both"/>
        <w:rPr>
          <w:b/>
          <w:bCs/>
        </w:rPr>
      </w:pPr>
    </w:p>
    <w:p w14:paraId="7C1A0C69" w14:textId="77777777" w:rsidR="00A659F7" w:rsidRPr="00C872D9" w:rsidRDefault="00A659F7" w:rsidP="00A659F7">
      <w:pPr>
        <w:jc w:val="both"/>
        <w:rPr>
          <w:b/>
          <w:bCs/>
        </w:rPr>
      </w:pPr>
    </w:p>
    <w:p w14:paraId="0E5B14AE" w14:textId="70DE61DB" w:rsidR="0031324F" w:rsidRDefault="0031324F">
      <w:pPr>
        <w:rPr>
          <w:noProof/>
        </w:rPr>
      </w:pPr>
      <w:r>
        <w:rPr>
          <w:noProof/>
        </w:rPr>
        <w:br w:type="page"/>
      </w:r>
    </w:p>
    <w:p w14:paraId="1E5CFA88" w14:textId="62E5E492" w:rsidR="00A659F7" w:rsidRPr="00C872D9" w:rsidRDefault="0031324F" w:rsidP="00A659F7">
      <w:pPr>
        <w:spacing w:after="240"/>
        <w:jc w:val="center"/>
      </w:pPr>
      <w:r>
        <w:rPr>
          <w:noProof/>
        </w:rPr>
        <w:lastRenderedPageBreak/>
        <w:drawing>
          <wp:inline distT="0" distB="0" distL="0" distR="0" wp14:anchorId="287E8F7B" wp14:editId="34CA3658">
            <wp:extent cx="6858000" cy="5941695"/>
            <wp:effectExtent l="0" t="0" r="0" b="1905"/>
            <wp:docPr id="300534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34490" name="Imagen 300534490"/>
                    <pic:cNvPicPr/>
                  </pic:nvPicPr>
                  <pic:blipFill>
                    <a:blip r:embed="rId6">
                      <a:extLst>
                        <a:ext uri="{28A0092B-C50C-407E-A947-70E740481C1C}">
                          <a14:useLocalDpi xmlns:a14="http://schemas.microsoft.com/office/drawing/2010/main" val="0"/>
                        </a:ext>
                      </a:extLst>
                    </a:blip>
                    <a:stretch>
                      <a:fillRect/>
                    </a:stretch>
                  </pic:blipFill>
                  <pic:spPr>
                    <a:xfrm>
                      <a:off x="0" y="0"/>
                      <a:ext cx="6858000" cy="5941695"/>
                    </a:xfrm>
                    <a:prstGeom prst="rect">
                      <a:avLst/>
                    </a:prstGeom>
                  </pic:spPr>
                </pic:pic>
              </a:graphicData>
            </a:graphic>
          </wp:inline>
        </w:drawing>
      </w:r>
    </w:p>
    <w:p w14:paraId="5735067D" w14:textId="77777777" w:rsidR="00A659F7" w:rsidRPr="0081186B" w:rsidRDefault="00A659F7" w:rsidP="00A659F7">
      <w:pPr>
        <w:spacing w:before="100" w:beforeAutospacing="1" w:after="100" w:afterAutospacing="1"/>
        <w:rPr>
          <w:rFonts w:ascii="Times New Roman" w:eastAsia="Times New Roman" w:hAnsi="Times New Roman" w:cs="Times New Roman"/>
        </w:rPr>
      </w:pPr>
    </w:p>
    <w:p w14:paraId="1EDB64EB" w14:textId="77777777" w:rsidR="00A659F7" w:rsidRPr="00497D0A" w:rsidRDefault="00A659F7" w:rsidP="00497D0A">
      <w:pPr>
        <w:pStyle w:val="Textoindependiente"/>
        <w:spacing w:line="276" w:lineRule="auto"/>
        <w:jc w:val="both"/>
        <w:rPr>
          <w:rFonts w:ascii="Calibri" w:hAnsi="Calibri" w:cs="Calibri"/>
          <w:sz w:val="22"/>
          <w:szCs w:val="22"/>
          <w:lang w:val="es-CR"/>
        </w:rPr>
      </w:pPr>
    </w:p>
    <w:p w14:paraId="3D5F4D12" w14:textId="052E2CEB" w:rsidR="00646FD5" w:rsidRPr="00497D0A" w:rsidRDefault="00646FD5" w:rsidP="002426C2">
      <w:pPr>
        <w:pStyle w:val="Textoindependiente"/>
        <w:spacing w:line="276" w:lineRule="auto"/>
        <w:jc w:val="both"/>
        <w:rPr>
          <w:rFonts w:ascii="Calibri" w:hAnsi="Calibri" w:cs="Calibri"/>
          <w:b/>
          <w:bCs/>
          <w:sz w:val="28"/>
          <w:szCs w:val="28"/>
          <w:lang w:val="es-CR"/>
        </w:rPr>
      </w:pPr>
    </w:p>
    <w:sectPr w:rsidR="00646FD5" w:rsidRPr="00497D0A" w:rsidSect="00A659F7">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14C090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13F7074"/>
    <w:multiLevelType w:val="hybridMultilevel"/>
    <w:tmpl w:val="FF7CF812"/>
    <w:lvl w:ilvl="0" w:tplc="7D5EF7C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ECC5153"/>
    <w:multiLevelType w:val="hybridMultilevel"/>
    <w:tmpl w:val="5DCAA6FE"/>
    <w:lvl w:ilvl="0" w:tplc="DDFA40B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8A44510"/>
    <w:multiLevelType w:val="hybridMultilevel"/>
    <w:tmpl w:val="5A0ABC7A"/>
    <w:lvl w:ilvl="0" w:tplc="3A94A87E">
      <w:start w:val="1"/>
      <w:numFmt w:val="upperRoman"/>
      <w:lvlText w:val="%1-"/>
      <w:lvlJc w:val="left"/>
      <w:pPr>
        <w:ind w:left="705" w:hanging="720"/>
      </w:pPr>
      <w:rPr>
        <w:rFonts w:hint="default"/>
      </w:rPr>
    </w:lvl>
    <w:lvl w:ilvl="1" w:tplc="140A0019" w:tentative="1">
      <w:start w:val="1"/>
      <w:numFmt w:val="lowerLetter"/>
      <w:lvlText w:val="%2."/>
      <w:lvlJc w:val="left"/>
      <w:pPr>
        <w:ind w:left="1065" w:hanging="360"/>
      </w:pPr>
    </w:lvl>
    <w:lvl w:ilvl="2" w:tplc="140A001B" w:tentative="1">
      <w:start w:val="1"/>
      <w:numFmt w:val="lowerRoman"/>
      <w:lvlText w:val="%3."/>
      <w:lvlJc w:val="right"/>
      <w:pPr>
        <w:ind w:left="1785" w:hanging="180"/>
      </w:pPr>
    </w:lvl>
    <w:lvl w:ilvl="3" w:tplc="140A000F" w:tentative="1">
      <w:start w:val="1"/>
      <w:numFmt w:val="decimal"/>
      <w:lvlText w:val="%4."/>
      <w:lvlJc w:val="left"/>
      <w:pPr>
        <w:ind w:left="2505" w:hanging="360"/>
      </w:pPr>
    </w:lvl>
    <w:lvl w:ilvl="4" w:tplc="140A0019" w:tentative="1">
      <w:start w:val="1"/>
      <w:numFmt w:val="lowerLetter"/>
      <w:lvlText w:val="%5."/>
      <w:lvlJc w:val="left"/>
      <w:pPr>
        <w:ind w:left="3225" w:hanging="360"/>
      </w:pPr>
    </w:lvl>
    <w:lvl w:ilvl="5" w:tplc="140A001B" w:tentative="1">
      <w:start w:val="1"/>
      <w:numFmt w:val="lowerRoman"/>
      <w:lvlText w:val="%6."/>
      <w:lvlJc w:val="right"/>
      <w:pPr>
        <w:ind w:left="3945" w:hanging="180"/>
      </w:pPr>
    </w:lvl>
    <w:lvl w:ilvl="6" w:tplc="140A000F" w:tentative="1">
      <w:start w:val="1"/>
      <w:numFmt w:val="decimal"/>
      <w:lvlText w:val="%7."/>
      <w:lvlJc w:val="left"/>
      <w:pPr>
        <w:ind w:left="4665" w:hanging="360"/>
      </w:pPr>
    </w:lvl>
    <w:lvl w:ilvl="7" w:tplc="140A0019" w:tentative="1">
      <w:start w:val="1"/>
      <w:numFmt w:val="lowerLetter"/>
      <w:lvlText w:val="%8."/>
      <w:lvlJc w:val="left"/>
      <w:pPr>
        <w:ind w:left="5385" w:hanging="360"/>
      </w:pPr>
    </w:lvl>
    <w:lvl w:ilvl="8" w:tplc="140A001B" w:tentative="1">
      <w:start w:val="1"/>
      <w:numFmt w:val="lowerRoman"/>
      <w:lvlText w:val="%9."/>
      <w:lvlJc w:val="right"/>
      <w:pPr>
        <w:ind w:left="6105" w:hanging="180"/>
      </w:pPr>
    </w:lvl>
  </w:abstractNum>
  <w:abstractNum w:abstractNumId="4" w15:restartNumberingAfterBreak="0">
    <w:nsid w:val="2C6E2D92"/>
    <w:multiLevelType w:val="hybridMultilevel"/>
    <w:tmpl w:val="CBF85D6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7C54E19"/>
    <w:multiLevelType w:val="hybridMultilevel"/>
    <w:tmpl w:val="AD400810"/>
    <w:lvl w:ilvl="0" w:tplc="820ED5D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554120149">
    <w:abstractNumId w:val="0"/>
  </w:num>
  <w:num w:numId="2" w16cid:durableId="261689762">
    <w:abstractNumId w:val="3"/>
  </w:num>
  <w:num w:numId="3" w16cid:durableId="1426220571">
    <w:abstractNumId w:val="2"/>
  </w:num>
  <w:num w:numId="4" w16cid:durableId="992178521">
    <w:abstractNumId w:val="5"/>
  </w:num>
  <w:num w:numId="5" w16cid:durableId="1358652053">
    <w:abstractNumId w:val="1"/>
  </w:num>
  <w:num w:numId="6" w16cid:durableId="1293365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D5"/>
    <w:rsid w:val="002426C2"/>
    <w:rsid w:val="0031324F"/>
    <w:rsid w:val="00315D2C"/>
    <w:rsid w:val="00375F50"/>
    <w:rsid w:val="00497D0A"/>
    <w:rsid w:val="00501F09"/>
    <w:rsid w:val="00646FD5"/>
    <w:rsid w:val="006A72A3"/>
    <w:rsid w:val="0070773F"/>
    <w:rsid w:val="00756F0C"/>
    <w:rsid w:val="00797CB4"/>
    <w:rsid w:val="009B76E0"/>
    <w:rsid w:val="00A6105C"/>
    <w:rsid w:val="00A659F7"/>
    <w:rsid w:val="00B7254F"/>
    <w:rsid w:val="00DF2107"/>
    <w:rsid w:val="00EE42A8"/>
    <w:rsid w:val="00F01A79"/>
    <w:rsid w:val="00F77477"/>
    <w:rsid w:val="00F8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D0BD"/>
  <w15:docId w15:val="{349EA662-B721-4D14-869E-8A3F6CBE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Default">
    <w:name w:val="Default"/>
    <w:rsid w:val="00A659F7"/>
    <w:pPr>
      <w:autoSpaceDE w:val="0"/>
      <w:autoSpaceDN w:val="0"/>
      <w:adjustRightInd w:val="0"/>
      <w:spacing w:after="0"/>
    </w:pPr>
    <w:rPr>
      <w:rFonts w:ascii="Arial" w:eastAsia="Arial" w:hAnsi="Arial" w:cs="Arial"/>
      <w:color w:val="000000"/>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1216</Words>
  <Characters>6688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Ligia María Umaña Ledezma</dc:creator>
  <cp:keywords/>
  <cp:lastModifiedBy>Bernardo Aguilar</cp:lastModifiedBy>
  <cp:revision>5</cp:revision>
  <dcterms:created xsi:type="dcterms:W3CDTF">2026-08-03T16:09:00Z</dcterms:created>
  <dcterms:modified xsi:type="dcterms:W3CDTF">2026-08-19T00:28:00Z</dcterms:modified>
</cp:coreProperties>
</file>